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  <w:rPr>
          <w:b/>
        </w:rPr>
      </w:pPr>
      <w:r w:rsidRPr="003B7E5A">
        <w:rPr>
          <w:b/>
        </w:rPr>
        <w:t xml:space="preserve">Тема 6: Состав и планирование расходов на содержание школ 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Республика Казахстан признана мировым сообществом как государство с рыночной экономикой. За короткий исторический период независимости страна достигла значительного роста в экономике, интегрируясь с мировым сообществом.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В этом контексте возрастают роль и значение системы образования, человеческих ресурсов как критериев уровня общественного развития, экономической мощи и национальной безопасности страны. Изменения в системе общественных отношений оказывают влияние на образование, требуя от него мобильности, адекватного ответа на реалии нового исторического этапа и соответствия потребностям развития экономики.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В условиях быстроизменяющегося мира и увеличения потоков информации фундаментальные предметные знания являются обязательной, но не достаточной целью образования. Обучающиеся должны не просто овладеть суммой знаний, умений и навыков, на что направлена система казахстанского образования (знаниецентризм). Гораздо важнее и сложнее привить обучающимся умение самостоятельно добывать, анализировать, структурировать и эффективно использовать информацию для максимальной самореализации и полезного участия в жизни общества (компетентность). Казахстанская система образования продолжает развиваться в условиях устаревших методологической базы, структуры и содержания, не позволяющих ей занять достойное место в мировом образовательном пространстве. Содержание образования остается фактологическим и не ориентировано на подготовку обучающихся к компетентному, ответственному и творческому участию в жизни общества. Отсутствие унифицированной системы управления образованием на региональном уровне, недостаток штатной численности специалистов в отделах образования отрицательно сказываются на эффективности управления образованием.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Разработка и реализация государственной политики в сфере образования осуществляется в соответствии с Законом Республики Казахстан «Об образовании». К компетенции правительства отнесены и разработка и реализация государственной политики по развитию образования. Реализацию этой политики осуществляют вместе с правительством так же и центральный исполнительный орган Республики Казахстан в области образования, местные исполнительные органы и местные органы управления образованием.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Система финансирования образования - совокупность бюджетов, других источников доходов, а также бюджетных и внебюджетных процессов и отношений.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Система финансирования образования основывается на следующих принципах: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-  принцип эффективности и результативности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-  принцип приоритетности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-  принцип ответственности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-  принцип разграничения и самостоятельности всех уровней бюджетов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Источниками финансирования образования являются: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-  бюджетное финансирование содержания государственных учреждений образования;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-  бюджетное финансирование государственного образовательного заказа;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-  доходы от оказания платных образовательных услуг;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-  доходы от оказания других видов платных услуг, не противоречащих законодательству;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-  кредиты банков второго уровня;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-  спонсорская и благотворительная помощь, безвозмездные отчисления и пожертвования, гранты;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-  средства в размере до одного процента от общего объема инвестиций, определяемых модельными контрактами на проведение операций по недропользованию.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Государственное финансирование является основой государственных гарантий получения гражданами Республики Казахстан образования. Государство обеспечивает выделение бюджетных ассигнований на образование с учетом его приоритетности по текущим бюджетным программам и бюджетным программам развития.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 xml:space="preserve">Финансирование государственных организаций образования осуществляется за счет республиканского и местных бюджетов с соблюдением требований, устанавливаемых </w:t>
      </w:r>
      <w:r w:rsidRPr="003B7E5A">
        <w:lastRenderedPageBreak/>
        <w:t>государственными общеобязательными стандартами образования по уровням образования, и на основании норм, определяемых законодательством Республики Казахстан.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Государство обеспечивает выделение ежегодных бюджетных ассигнований в Фонд всеобщего обязательного среднего общего образования в размере не менее одного процента (не менее трех процентов – ДДСО) от суммы расходов на текущее содержание общеобразовательных школ.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Финансирование малокомплектных школ должно учитывать затраты, не зависящие от количества обучающих.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Финансирование государственных учреждений образования за счет средств государственного бюджета обеспечивает содержание и выполнение функций учреждений в соответствии с общеобязательными стандартами образования.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Правительство Республики Казахстан утверждает гарантированный норматив сети государственных учреждений общего среднего образования в зависимости от плотности населения и отдаленности населенных пунктов.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Финансирование государственных предприятий образования, организаций образования других организационно-правовых форм, осуществляется на основе государственного образовательного заказа.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Финансирование частных организаций образования по государственному образовательному заказу осуществляется при условии их аккредитации.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Финансирование организации образования на подготовку кадров осуществляется: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-  с техническим и профессиональным, послесредним образованием в виде размещение государственного заказа;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-  с высшим образованием путем предоставления обучающимся дифференцированных образовательных грантов (обусловленных грантов). ДДСО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Государственный заказ на финансирование среднего профессионального и высшего профессионального образования размещается в виде дифференцированных образовательных грантов (обусловленных грантов). Размер дифференцированных образовательных грантов определяется Правительством Республики Казахстан в зависимости от специальности, вида и статуса учебного заведения.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Размещение государственного заказа осуществляется в соответствии с законодательством о государственных закупках.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Создание и развитие материально-технической базы государственных организаций образования осуществляется за счет средств республиканского и местных бюджетов, доходов от оказания платных услуг, иных источников, не запрещенных законодательством Республики Казахстан, в соответствии с республиканскими и региональными инвестиционными программами и проектами.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Порядок формирования республиканских и местных инвестиционных программ и проектов утверждается Правительством Республики Казахстан.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В целях обновления и укрепления материально-технической базы высших учебных заведений с особым статусом инновационных и национальных высших учебных заведений в величине образовательного гранта предусматриваются расходы на развитие в размере не менее 50 и 30 процентов соответственно к текущим расходам.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  <w:r w:rsidRPr="003B7E5A">
        <w:t>Государство может субсидировать приобретение необходимого учебного, учебно-клинического оборудования для учебно-клинических центров государственных медицинских организаций образования с целью повышения качества клинической подготовки медицинских работников в соответствии с законодательством Республики Казахстан.</w:t>
      </w:r>
    </w:p>
    <w:p w:rsidR="002474DF" w:rsidRPr="003B7E5A" w:rsidRDefault="002474DF" w:rsidP="002474DF">
      <w:pPr>
        <w:shd w:val="clear" w:color="auto" w:fill="FFFFFF" w:themeFill="background1"/>
        <w:ind w:left="-567" w:firstLine="283"/>
        <w:jc w:val="both"/>
      </w:pPr>
    </w:p>
    <w:p w:rsidR="00E11383" w:rsidRDefault="002474DF" w:rsidP="002474DF">
      <w:r w:rsidRPr="003B7E5A">
        <w:t>Организации образования имеют право владеть и пользоваться имуществом в порядке, определенном законодательством и их уставами. Государственное имущество организации образования не подлежит изъятию или использованию в целях противоречащих основным задачам организации образования. Приватизация организаций образования осуществляется в соответствии с законодательством и по согласованию с уполномоченным органом в области образования.</w:t>
      </w:r>
      <w:bookmarkStart w:id="0" w:name="_GoBack"/>
      <w:bookmarkEnd w:id="0"/>
    </w:p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DF"/>
    <w:rsid w:val="002474DF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DF"/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DF"/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1089</Words>
  <Characters>6209</Characters>
  <Application>Microsoft Macintosh Word</Application>
  <DocSecurity>0</DocSecurity>
  <Lines>51</Lines>
  <Paragraphs>14</Paragraphs>
  <ScaleCrop>false</ScaleCrop>
  <Company>Dom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2021-01-27T18:25:00Z</dcterms:created>
  <dcterms:modified xsi:type="dcterms:W3CDTF">2021-01-27T18:25:00Z</dcterms:modified>
</cp:coreProperties>
</file>